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2F7" w:rsidRPr="00E6364C" w:rsidRDefault="001172F7" w:rsidP="001172F7">
      <w:pPr>
        <w:shd w:val="clear" w:color="auto" w:fill="FFFFFF"/>
        <w:spacing w:line="180" w:lineRule="atLeast"/>
        <w:ind w:firstLine="720"/>
        <w:jc w:val="center"/>
        <w:rPr>
          <w:b/>
          <w:bCs/>
          <w:color w:val="333333"/>
          <w:sz w:val="22"/>
          <w:szCs w:val="22"/>
          <w:lang w:val="uk-UA"/>
        </w:rPr>
      </w:pPr>
      <w:r w:rsidRPr="00E6364C">
        <w:rPr>
          <w:b/>
          <w:bCs/>
          <w:color w:val="333333"/>
          <w:sz w:val="22"/>
          <w:szCs w:val="22"/>
        </w:rPr>
        <w:t>Коли людина звільняється від обов’язкового подання податкової декларації про майновий</w:t>
      </w:r>
      <w:r w:rsidRPr="00E6364C">
        <w:rPr>
          <w:b/>
          <w:bCs/>
          <w:color w:val="333333"/>
          <w:sz w:val="22"/>
          <w:szCs w:val="22"/>
          <w:lang w:val="en-US"/>
        </w:rPr>
        <w:t xml:space="preserve"> </w:t>
      </w:r>
      <w:r w:rsidRPr="00E6364C">
        <w:rPr>
          <w:b/>
          <w:bCs/>
          <w:color w:val="333333"/>
          <w:sz w:val="22"/>
          <w:szCs w:val="22"/>
          <w:lang w:val="uk-UA"/>
        </w:rPr>
        <w:t>стан і доходи ?</w:t>
      </w:r>
    </w:p>
    <w:p w:rsidR="001172F7" w:rsidRPr="00E6364C" w:rsidRDefault="001172F7" w:rsidP="001172F7">
      <w:pPr>
        <w:shd w:val="clear" w:color="auto" w:fill="FFFFFF"/>
        <w:spacing w:line="180" w:lineRule="atLeast"/>
        <w:ind w:firstLine="720"/>
        <w:jc w:val="both"/>
        <w:rPr>
          <w:color w:val="333333"/>
          <w:sz w:val="22"/>
          <w:szCs w:val="22"/>
          <w:lang w:val="en-US"/>
        </w:rPr>
      </w:pPr>
    </w:p>
    <w:p w:rsidR="001172F7" w:rsidRPr="006450B5" w:rsidRDefault="001172F7" w:rsidP="001172F7">
      <w:pPr>
        <w:pStyle w:val="a3"/>
        <w:shd w:val="clear" w:color="auto" w:fill="FFFFFF"/>
        <w:spacing w:before="0" w:beforeAutospacing="0" w:after="0" w:afterAutospacing="0"/>
        <w:ind w:firstLine="720"/>
        <w:jc w:val="both"/>
        <w:rPr>
          <w:color w:val="333333"/>
          <w:sz w:val="22"/>
          <w:szCs w:val="22"/>
        </w:rPr>
      </w:pPr>
      <w:r w:rsidRPr="006450B5">
        <w:rPr>
          <w:color w:val="333333"/>
          <w:sz w:val="22"/>
          <w:szCs w:val="22"/>
        </w:rPr>
        <w:t>Умови звільнення від обов’язку подання декларації про майновий стан і доходи чітко визначені Податковим кодексом України.</w:t>
      </w:r>
    </w:p>
    <w:p w:rsidR="001172F7" w:rsidRPr="006450B5" w:rsidRDefault="001172F7" w:rsidP="001172F7">
      <w:pPr>
        <w:pStyle w:val="a3"/>
        <w:shd w:val="clear" w:color="auto" w:fill="FFFFFF"/>
        <w:spacing w:before="0" w:beforeAutospacing="0" w:after="0" w:afterAutospacing="0"/>
        <w:ind w:firstLine="720"/>
        <w:jc w:val="both"/>
        <w:rPr>
          <w:color w:val="333333"/>
          <w:sz w:val="22"/>
          <w:szCs w:val="22"/>
        </w:rPr>
      </w:pPr>
      <w:r w:rsidRPr="006450B5">
        <w:rPr>
          <w:color w:val="333333"/>
          <w:sz w:val="22"/>
          <w:szCs w:val="22"/>
        </w:rPr>
        <w:t>Так, незалежно від виду та суми отриманих доходів від подання декларації звільняються:</w:t>
      </w:r>
    </w:p>
    <w:p w:rsidR="001172F7" w:rsidRPr="006450B5" w:rsidRDefault="001172F7" w:rsidP="001172F7">
      <w:pPr>
        <w:pStyle w:val="a3"/>
        <w:shd w:val="clear" w:color="auto" w:fill="FFFFFF"/>
        <w:spacing w:before="0" w:beforeAutospacing="0" w:after="0" w:afterAutospacing="0"/>
        <w:ind w:firstLine="720"/>
        <w:jc w:val="both"/>
        <w:rPr>
          <w:color w:val="333333"/>
          <w:sz w:val="22"/>
          <w:szCs w:val="22"/>
        </w:rPr>
      </w:pPr>
      <w:r w:rsidRPr="006450B5">
        <w:rPr>
          <w:color w:val="333333"/>
          <w:sz w:val="22"/>
          <w:szCs w:val="22"/>
        </w:rPr>
        <w:t>– малолітні, неповнолітні або недієздатні особи, які при цьому перебувають на повному утриманні інших осіб (у тому числі батьків) або держави станом на кінець звітного податкового року;</w:t>
      </w:r>
    </w:p>
    <w:p w:rsidR="001172F7" w:rsidRPr="006450B5" w:rsidRDefault="001172F7" w:rsidP="001172F7">
      <w:pPr>
        <w:pStyle w:val="a3"/>
        <w:shd w:val="clear" w:color="auto" w:fill="FFFFFF"/>
        <w:spacing w:before="0" w:beforeAutospacing="0" w:after="0" w:afterAutospacing="0"/>
        <w:ind w:firstLine="720"/>
        <w:jc w:val="both"/>
        <w:rPr>
          <w:color w:val="333333"/>
          <w:sz w:val="22"/>
          <w:szCs w:val="22"/>
        </w:rPr>
      </w:pPr>
      <w:r w:rsidRPr="006450B5">
        <w:rPr>
          <w:color w:val="333333"/>
          <w:sz w:val="22"/>
          <w:szCs w:val="22"/>
        </w:rPr>
        <w:t>–  перебувають під арештом або є затриманими чи засудженими до позбавлення волі;</w:t>
      </w:r>
    </w:p>
    <w:p w:rsidR="001172F7" w:rsidRPr="006450B5" w:rsidRDefault="001172F7" w:rsidP="001172F7">
      <w:pPr>
        <w:pStyle w:val="a3"/>
        <w:shd w:val="clear" w:color="auto" w:fill="FFFFFF"/>
        <w:spacing w:before="0" w:beforeAutospacing="0" w:after="0" w:afterAutospacing="0"/>
        <w:ind w:firstLine="720"/>
        <w:jc w:val="both"/>
        <w:rPr>
          <w:color w:val="333333"/>
          <w:sz w:val="22"/>
          <w:szCs w:val="22"/>
        </w:rPr>
      </w:pPr>
      <w:r w:rsidRPr="006450B5">
        <w:rPr>
          <w:color w:val="333333"/>
          <w:sz w:val="22"/>
          <w:szCs w:val="22"/>
        </w:rPr>
        <w:t>– перебувають у полоні або ув’язненні на території інших держав станом на кінець граничного строку подання декларації;</w:t>
      </w:r>
    </w:p>
    <w:p w:rsidR="001172F7" w:rsidRPr="006450B5" w:rsidRDefault="001172F7" w:rsidP="001172F7">
      <w:pPr>
        <w:pStyle w:val="a3"/>
        <w:shd w:val="clear" w:color="auto" w:fill="FFFFFF"/>
        <w:spacing w:before="0" w:beforeAutospacing="0" w:after="0" w:afterAutospacing="0"/>
        <w:ind w:firstLine="720"/>
        <w:jc w:val="both"/>
        <w:rPr>
          <w:color w:val="333333"/>
          <w:sz w:val="22"/>
          <w:szCs w:val="22"/>
        </w:rPr>
      </w:pPr>
      <w:r w:rsidRPr="006450B5">
        <w:rPr>
          <w:color w:val="333333"/>
          <w:sz w:val="22"/>
          <w:szCs w:val="22"/>
        </w:rPr>
        <w:t>– перебувають у розшуку станом на кінець звітного податкового року;</w:t>
      </w:r>
    </w:p>
    <w:p w:rsidR="001172F7" w:rsidRPr="006450B5" w:rsidRDefault="001172F7" w:rsidP="001172F7">
      <w:pPr>
        <w:pStyle w:val="a3"/>
        <w:shd w:val="clear" w:color="auto" w:fill="FFFFFF"/>
        <w:spacing w:before="0" w:beforeAutospacing="0" w:after="0" w:afterAutospacing="0"/>
        <w:ind w:firstLine="720"/>
        <w:jc w:val="both"/>
        <w:rPr>
          <w:color w:val="333333"/>
          <w:sz w:val="22"/>
          <w:szCs w:val="22"/>
        </w:rPr>
      </w:pPr>
      <w:r w:rsidRPr="006450B5">
        <w:rPr>
          <w:color w:val="333333"/>
          <w:sz w:val="22"/>
          <w:szCs w:val="22"/>
        </w:rPr>
        <w:t>– перебувають на строковій військовій службі станом на кінець звітного податкового року тощо.</w:t>
      </w:r>
    </w:p>
    <w:p w:rsidR="001172F7" w:rsidRPr="006450B5" w:rsidRDefault="001172F7" w:rsidP="001172F7">
      <w:pPr>
        <w:pStyle w:val="a3"/>
        <w:shd w:val="clear" w:color="auto" w:fill="FFFFFF"/>
        <w:spacing w:before="0" w:beforeAutospacing="0" w:after="0" w:afterAutospacing="0"/>
        <w:ind w:firstLine="720"/>
        <w:jc w:val="both"/>
        <w:rPr>
          <w:color w:val="333333"/>
          <w:sz w:val="22"/>
          <w:szCs w:val="22"/>
        </w:rPr>
      </w:pPr>
      <w:r w:rsidRPr="006450B5">
        <w:rPr>
          <w:color w:val="333333"/>
          <w:sz w:val="22"/>
          <w:szCs w:val="22"/>
        </w:rPr>
        <w:t>Обов’язок щодо подання декларації вважається виконаним та декларація не подається у разі отримання таких доходів:</w:t>
      </w:r>
    </w:p>
    <w:p w:rsidR="001172F7" w:rsidRPr="006450B5" w:rsidRDefault="001172F7" w:rsidP="001172F7">
      <w:pPr>
        <w:pStyle w:val="a3"/>
        <w:shd w:val="clear" w:color="auto" w:fill="FFFFFF"/>
        <w:spacing w:before="0" w:beforeAutospacing="0" w:after="0" w:afterAutospacing="0"/>
        <w:ind w:firstLine="720"/>
        <w:jc w:val="both"/>
        <w:rPr>
          <w:color w:val="333333"/>
          <w:sz w:val="22"/>
          <w:szCs w:val="22"/>
        </w:rPr>
      </w:pPr>
      <w:r w:rsidRPr="006450B5">
        <w:rPr>
          <w:color w:val="333333"/>
          <w:sz w:val="22"/>
          <w:szCs w:val="22"/>
        </w:rPr>
        <w:t>– від податкових агентів, які не включаються до загального місячного (річного) оподатковуваного доходу, наприклад адресні виплати, допомоги, пенсії, страхові виплати, стипендії, призначені законодавчими документами, грошові компенсації для військовослужбовців, аліменти тощо;</w:t>
      </w:r>
    </w:p>
    <w:p w:rsidR="001172F7" w:rsidRPr="006450B5" w:rsidRDefault="001172F7" w:rsidP="001172F7">
      <w:pPr>
        <w:pStyle w:val="a3"/>
        <w:shd w:val="clear" w:color="auto" w:fill="FFFFFF"/>
        <w:spacing w:before="0" w:beforeAutospacing="0" w:after="0" w:afterAutospacing="0"/>
        <w:ind w:firstLine="720"/>
        <w:jc w:val="both"/>
        <w:rPr>
          <w:color w:val="333333"/>
          <w:sz w:val="22"/>
          <w:szCs w:val="22"/>
        </w:rPr>
      </w:pPr>
      <w:r w:rsidRPr="006450B5">
        <w:rPr>
          <w:color w:val="333333"/>
          <w:sz w:val="22"/>
          <w:szCs w:val="22"/>
        </w:rPr>
        <w:t>– виключно від податкових агентів незалежно від виду та розміру нарахованого (виплаченого, наданого) доходу, наприклад, заробітна плата;</w:t>
      </w:r>
    </w:p>
    <w:p w:rsidR="001172F7" w:rsidRPr="006450B5" w:rsidRDefault="001172F7" w:rsidP="001172F7">
      <w:pPr>
        <w:pStyle w:val="a3"/>
        <w:shd w:val="clear" w:color="auto" w:fill="FFFFFF"/>
        <w:spacing w:before="0" w:beforeAutospacing="0" w:after="0" w:afterAutospacing="0"/>
        <w:ind w:firstLine="720"/>
        <w:jc w:val="both"/>
        <w:rPr>
          <w:color w:val="333333"/>
          <w:sz w:val="22"/>
          <w:szCs w:val="22"/>
        </w:rPr>
      </w:pPr>
      <w:r w:rsidRPr="006450B5">
        <w:rPr>
          <w:color w:val="333333"/>
          <w:sz w:val="22"/>
          <w:szCs w:val="22"/>
        </w:rPr>
        <w:t>– від операцій продажу (обміну) майна, дарування, при нотаріальному посвідченні договорів, за якими був сплачений податок;</w:t>
      </w:r>
    </w:p>
    <w:p w:rsidR="001172F7" w:rsidRPr="006450B5" w:rsidRDefault="001172F7" w:rsidP="001172F7">
      <w:pPr>
        <w:pStyle w:val="a3"/>
        <w:shd w:val="clear" w:color="auto" w:fill="FFFFFF"/>
        <w:spacing w:before="0" w:beforeAutospacing="0" w:after="0" w:afterAutospacing="0"/>
        <w:ind w:firstLine="720"/>
        <w:jc w:val="both"/>
        <w:rPr>
          <w:color w:val="333333"/>
          <w:sz w:val="22"/>
          <w:szCs w:val="22"/>
        </w:rPr>
      </w:pPr>
      <w:r w:rsidRPr="006450B5">
        <w:rPr>
          <w:color w:val="333333"/>
          <w:sz w:val="22"/>
          <w:szCs w:val="22"/>
        </w:rPr>
        <w:t>–  у вигляді об’єктів спадщини, які оподатковуються за нульовою ставкою податку або з яких сплачено податок.</w:t>
      </w:r>
    </w:p>
    <w:p w:rsidR="001172F7" w:rsidRPr="00BF171B" w:rsidRDefault="001172F7" w:rsidP="001172F7">
      <w:pPr>
        <w:ind w:firstLine="6660"/>
        <w:jc w:val="right"/>
        <w:rPr>
          <w:b/>
          <w:color w:val="333333"/>
          <w:sz w:val="22"/>
          <w:szCs w:val="22"/>
          <w:lang w:val="uk-UA" w:eastAsia="en-US"/>
        </w:rPr>
      </w:pPr>
      <w:r w:rsidRPr="00BF171B">
        <w:rPr>
          <w:b/>
          <w:color w:val="333333"/>
          <w:sz w:val="22"/>
          <w:szCs w:val="22"/>
          <w:lang w:val="uk-UA" w:eastAsia="en-US"/>
        </w:rPr>
        <w:t>Старобільське управління</w:t>
      </w:r>
    </w:p>
    <w:p w:rsidR="001172F7" w:rsidRDefault="001172F7" w:rsidP="001172F7">
      <w:pPr>
        <w:shd w:val="clear" w:color="auto" w:fill="FFFFFF"/>
        <w:spacing w:line="180" w:lineRule="atLeast"/>
        <w:rPr>
          <w:b/>
          <w:bCs/>
          <w:color w:val="333333"/>
          <w:sz w:val="22"/>
          <w:szCs w:val="22"/>
          <w:lang w:val="en-US"/>
        </w:rPr>
      </w:pPr>
      <w:r>
        <w:rPr>
          <w:b/>
          <w:bCs/>
          <w:color w:val="333333"/>
          <w:sz w:val="22"/>
          <w:szCs w:val="22"/>
          <w:lang w:val="en-US"/>
        </w:rPr>
        <w:t xml:space="preserve">                                 </w:t>
      </w:r>
    </w:p>
    <w:p w:rsidR="00A712C8" w:rsidRDefault="00A712C8" w:rsidP="007210D7">
      <w:bookmarkStart w:id="0" w:name="_GoBack"/>
      <w:bookmarkEnd w:id="0"/>
    </w:p>
    <w:sectPr w:rsidR="00A71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BE"/>
    <w:rsid w:val="001172F7"/>
    <w:rsid w:val="00176334"/>
    <w:rsid w:val="007210D7"/>
    <w:rsid w:val="00A712C8"/>
    <w:rsid w:val="00F3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58E8"/>
  <w15:chartTrackingRefBased/>
  <w15:docId w15:val="{AB45FE89-21E3-4DC3-B29A-A8D2F7AE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334"/>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176334"/>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176334"/>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1763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1429</Characters>
  <Application>Microsoft Office Word</Application>
  <DocSecurity>0</DocSecurity>
  <Lines>11</Lines>
  <Paragraphs>3</Paragraphs>
  <ScaleCrop>false</ScaleCrop>
  <Company>SPecialiST RePack</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2020-04-10T06:54:00Z</dcterms:created>
  <dcterms:modified xsi:type="dcterms:W3CDTF">2020-04-10T06:58:00Z</dcterms:modified>
</cp:coreProperties>
</file>